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9D2" w14:textId="5B461A69" w:rsidR="00F86207" w:rsidRPr="00F86207" w:rsidRDefault="00F86207" w:rsidP="00001049">
      <w:pPr>
        <w:jc w:val="both"/>
        <w:rPr>
          <w:lang w:val="pl-PL"/>
        </w:rPr>
      </w:pPr>
      <w:r w:rsidRPr="00F86207">
        <w:rPr>
          <w:lang w:val="pl-PL"/>
        </w:rPr>
        <w:t xml:space="preserve">Firma </w:t>
      </w:r>
      <w:r>
        <w:rPr>
          <w:lang w:val="pl-PL"/>
        </w:rPr>
        <w:t xml:space="preserve">SOFTGENT Sp. z </w:t>
      </w:r>
      <w:proofErr w:type="spellStart"/>
      <w:r>
        <w:rPr>
          <w:lang w:val="pl-PL"/>
        </w:rPr>
        <w:t>o.o</w:t>
      </w:r>
      <w:proofErr w:type="spellEnd"/>
      <w:r w:rsidRPr="00F86207">
        <w:rPr>
          <w:lang w:val="pl-PL"/>
        </w:rPr>
        <w:t xml:space="preserve">, właściciel marki </w:t>
      </w:r>
      <w:r>
        <w:rPr>
          <w:lang w:val="pl-PL"/>
        </w:rPr>
        <w:t xml:space="preserve">TRACKGENT oraz produktów pod tą marką oznaczonych </w:t>
      </w:r>
      <w:r w:rsidR="00F01D05" w:rsidRPr="00F01D05">
        <w:rPr>
          <w:lang w:val="pl-PL"/>
        </w:rPr>
        <w:t>SGNT-TGA</w:t>
      </w:r>
      <w:r w:rsidR="00F01D05">
        <w:rPr>
          <w:lang w:val="pl-PL"/>
        </w:rPr>
        <w:t>I</w:t>
      </w:r>
      <w:r w:rsidR="00F01D05" w:rsidRPr="00F01D05">
        <w:rPr>
          <w:lang w:val="pl-PL"/>
        </w:rPr>
        <w:t>, SGNT-TGA</w:t>
      </w:r>
      <w:r w:rsidR="00F01D05">
        <w:rPr>
          <w:lang w:val="pl-PL"/>
        </w:rPr>
        <w:t xml:space="preserve">O, </w:t>
      </w:r>
      <w:r w:rsidR="00F01D05" w:rsidRPr="00F01D05">
        <w:rPr>
          <w:lang w:val="pl-PL"/>
        </w:rPr>
        <w:t>SGNT-TGT</w:t>
      </w:r>
      <w:r w:rsidR="00F01D05">
        <w:rPr>
          <w:lang w:val="pl-PL"/>
        </w:rPr>
        <w:t xml:space="preserve">B, </w:t>
      </w:r>
      <w:r w:rsidR="00F01D05" w:rsidRPr="00F01D05">
        <w:rPr>
          <w:lang w:val="pl-PL"/>
        </w:rPr>
        <w:t>SGNT-TGT</w:t>
      </w:r>
      <w:r w:rsidR="00F01D05">
        <w:rPr>
          <w:lang w:val="pl-PL"/>
        </w:rPr>
        <w:t xml:space="preserve">D i </w:t>
      </w:r>
      <w:r w:rsidR="00F01D05" w:rsidRPr="00F01D05">
        <w:rPr>
          <w:lang w:val="pl-PL"/>
        </w:rPr>
        <w:t>SGNT-TGGT</w:t>
      </w:r>
      <w:r w:rsidRPr="00F86207">
        <w:rPr>
          <w:lang w:val="pl-PL"/>
        </w:rPr>
        <w:t>, zwana dalej Gwarantem, gwarantuje</w:t>
      </w:r>
      <w:r w:rsidR="00001049">
        <w:rPr>
          <w:lang w:val="pl-PL"/>
        </w:rPr>
        <w:t xml:space="preserve"> </w:t>
      </w:r>
      <w:r w:rsidRPr="00F86207">
        <w:rPr>
          <w:lang w:val="pl-PL"/>
        </w:rPr>
        <w:t>dobrą jakość i prawidłowe działanie zakupion</w:t>
      </w:r>
      <w:r w:rsidR="00C66945">
        <w:rPr>
          <w:lang w:val="pl-PL"/>
        </w:rPr>
        <w:t>ych</w:t>
      </w:r>
      <w:r w:rsidRPr="00F86207">
        <w:rPr>
          <w:lang w:val="pl-PL"/>
        </w:rPr>
        <w:t xml:space="preserve"> urządze</w:t>
      </w:r>
      <w:r w:rsidR="00C66945">
        <w:rPr>
          <w:lang w:val="pl-PL"/>
        </w:rPr>
        <w:t>ń</w:t>
      </w:r>
      <w:r w:rsidRPr="00F86207">
        <w:rPr>
          <w:lang w:val="pl-PL"/>
        </w:rPr>
        <w:t xml:space="preserve">, jeżeli będzie ono użytkowane </w:t>
      </w:r>
      <w:r w:rsidR="00C66945" w:rsidRPr="00F86207">
        <w:rPr>
          <w:lang w:val="pl-PL"/>
        </w:rPr>
        <w:t xml:space="preserve">zgodnie z instrukcją obsługi </w:t>
      </w:r>
      <w:r w:rsidRPr="00F86207">
        <w:rPr>
          <w:lang w:val="pl-PL"/>
        </w:rPr>
        <w:t xml:space="preserve">w sposób właściwy dla jego przeznaczenia na następujących </w:t>
      </w:r>
    </w:p>
    <w:p w14:paraId="190A26C0" w14:textId="52453433" w:rsidR="00F86207" w:rsidRPr="00F86207" w:rsidRDefault="00C66945" w:rsidP="00001049">
      <w:pPr>
        <w:jc w:val="both"/>
        <w:rPr>
          <w:lang w:val="pl-PL"/>
        </w:rPr>
      </w:pPr>
      <w:r>
        <w:rPr>
          <w:lang w:val="pl-PL"/>
        </w:rPr>
        <w:t>warunkach:</w:t>
      </w:r>
    </w:p>
    <w:p w14:paraId="24ABF084" w14:textId="4F0CD2BD" w:rsidR="00F86207" w:rsidRPr="00C66945" w:rsidRDefault="00F86207" w:rsidP="00001049">
      <w:pPr>
        <w:pStyle w:val="ListParagraph"/>
        <w:numPr>
          <w:ilvl w:val="0"/>
          <w:numId w:val="3"/>
        </w:numPr>
        <w:jc w:val="both"/>
        <w:rPr>
          <w:lang w:val="pl-PL"/>
        </w:rPr>
      </w:pPr>
      <w:r w:rsidRPr="00C66945">
        <w:rPr>
          <w:lang w:val="pl-PL"/>
        </w:rPr>
        <w:t>Niniejsza Gwarancja obejmuje wady wynikające z wad części, materiałów lub wykonania, jeżeli wady te ujawnią się</w:t>
      </w:r>
      <w:r w:rsidR="00C66945">
        <w:rPr>
          <w:lang w:val="pl-PL"/>
        </w:rPr>
        <w:t xml:space="preserve"> </w:t>
      </w:r>
      <w:r w:rsidRPr="00C66945">
        <w:rPr>
          <w:lang w:val="pl-PL"/>
        </w:rPr>
        <w:t>w okresie 12 miesięcy od daty zakupu</w:t>
      </w:r>
      <w:r w:rsidR="00001049">
        <w:rPr>
          <w:lang w:val="pl-PL"/>
        </w:rPr>
        <w:t>.</w:t>
      </w:r>
    </w:p>
    <w:p w14:paraId="0181EC99" w14:textId="2AA8A807" w:rsidR="00F86207" w:rsidRPr="00C66945" w:rsidRDefault="00F86207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C66945">
        <w:rPr>
          <w:lang w:val="pl-PL"/>
        </w:rPr>
        <w:t>Urządzenie jest uważane za wadliwe, jeśli nie wykonuje funkcji wskazanych w instrukcji obsługi, specyfikacji technicznej lub innych podobnych dokumentach dostarczonych wraz z urządzeniem, a także, jeśli nie jest w stanie wykonać funkcji wskazanych w instrukcji obsługi, specyfikacji technicznej lub innych podobnych dokumentach dostarczonych wraz z urządzeniem</w:t>
      </w:r>
      <w:r w:rsidR="00C66945">
        <w:rPr>
          <w:lang w:val="pl-PL"/>
        </w:rPr>
        <w:t>.</w:t>
      </w:r>
    </w:p>
    <w:p w14:paraId="705E4E4B" w14:textId="209F1968" w:rsidR="00F86207" w:rsidRPr="00C66945" w:rsidRDefault="00F86207" w:rsidP="00001049">
      <w:pPr>
        <w:pStyle w:val="ListParagraph"/>
        <w:numPr>
          <w:ilvl w:val="0"/>
          <w:numId w:val="3"/>
        </w:numPr>
        <w:jc w:val="both"/>
        <w:rPr>
          <w:lang w:val="pl-PL"/>
        </w:rPr>
      </w:pPr>
      <w:r w:rsidRPr="00C66945">
        <w:rPr>
          <w:lang w:val="pl-PL"/>
        </w:rPr>
        <w:t>Gwarancja nie obejmuje materiałów eksploatacyjnych lub części o ograniczonej regularnej funkcjonalności wynikającej z ich naturalnego zużycia.</w:t>
      </w:r>
    </w:p>
    <w:p w14:paraId="201998FB" w14:textId="1755EABF" w:rsidR="00F86207" w:rsidRPr="00C66945" w:rsidRDefault="00F86207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C66945">
        <w:rPr>
          <w:lang w:val="pl-PL"/>
        </w:rPr>
        <w:t>Gwarant nie ponosi odpowiedzialności za utratę i odtworzenie</w:t>
      </w:r>
      <w:r w:rsidR="00C66945">
        <w:rPr>
          <w:lang w:val="pl-PL"/>
        </w:rPr>
        <w:t xml:space="preserve"> </w:t>
      </w:r>
      <w:r w:rsidRPr="00C66945">
        <w:rPr>
          <w:lang w:val="pl-PL"/>
        </w:rPr>
        <w:t>oprogramowania lub danych</w:t>
      </w:r>
      <w:r w:rsidR="00C66945">
        <w:rPr>
          <w:lang w:val="pl-PL"/>
        </w:rPr>
        <w:t xml:space="preserve"> w przypadku, gdy aplikacje TRACKGENT instalowane są na urządzeniach innych niż zatwierdzone przez Gwaranta.</w:t>
      </w:r>
    </w:p>
    <w:p w14:paraId="1B8CF233" w14:textId="585071AD" w:rsidR="00001049" w:rsidRDefault="00F86207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01049">
        <w:rPr>
          <w:lang w:val="pl-PL"/>
        </w:rPr>
        <w:t>Wady i uszkodzenia ujawnione w okresie Gwarancji będą usuwane bezpłatnie wyłącznie przez</w:t>
      </w:r>
      <w:r w:rsidR="00C66945" w:rsidRPr="00001049">
        <w:rPr>
          <w:lang w:val="pl-PL"/>
        </w:rPr>
        <w:t xml:space="preserve"> </w:t>
      </w:r>
      <w:r w:rsidRPr="00001049">
        <w:rPr>
          <w:lang w:val="pl-PL"/>
        </w:rPr>
        <w:t xml:space="preserve">Centrum Serwisowe Gwaranta mieszczące się w </w:t>
      </w:r>
      <w:r w:rsidR="00C66945" w:rsidRPr="00001049">
        <w:rPr>
          <w:lang w:val="pl-PL"/>
        </w:rPr>
        <w:t>SOFTGENT Sp. z o.o.</w:t>
      </w:r>
      <w:r w:rsidRPr="00001049">
        <w:rPr>
          <w:lang w:val="pl-PL"/>
        </w:rPr>
        <w:t xml:space="preserve">, ul. </w:t>
      </w:r>
      <w:r w:rsidR="00C66945" w:rsidRPr="00001049">
        <w:rPr>
          <w:lang w:val="pl-PL"/>
        </w:rPr>
        <w:t>Budowlanych 31D</w:t>
      </w:r>
      <w:r w:rsidRPr="00001049">
        <w:rPr>
          <w:lang w:val="pl-PL"/>
        </w:rPr>
        <w:t xml:space="preserve">, </w:t>
      </w:r>
      <w:r w:rsidR="00C66945" w:rsidRPr="00001049">
        <w:rPr>
          <w:lang w:val="pl-PL"/>
        </w:rPr>
        <w:t>80-298</w:t>
      </w:r>
      <w:r w:rsidRPr="00001049">
        <w:rPr>
          <w:lang w:val="pl-PL"/>
        </w:rPr>
        <w:t xml:space="preserve"> </w:t>
      </w:r>
      <w:r w:rsidR="00C66945" w:rsidRPr="00001049">
        <w:rPr>
          <w:lang w:val="pl-PL"/>
        </w:rPr>
        <w:t>Gdańsk</w:t>
      </w:r>
      <w:r w:rsidRPr="00001049">
        <w:rPr>
          <w:lang w:val="pl-PL"/>
        </w:rPr>
        <w:t>, Polska, w terminie 14 dni roboczych</w:t>
      </w:r>
      <w:r w:rsidR="00C66945" w:rsidRPr="00001049">
        <w:rPr>
          <w:lang w:val="pl-PL"/>
        </w:rPr>
        <w:t xml:space="preserve"> </w:t>
      </w:r>
      <w:r w:rsidRPr="00001049">
        <w:rPr>
          <w:lang w:val="pl-PL"/>
        </w:rPr>
        <w:t>od daty dostarczenia urządzenia do Serwisu</w:t>
      </w:r>
      <w:r w:rsidR="00001049">
        <w:rPr>
          <w:lang w:val="pl-PL"/>
        </w:rPr>
        <w:t>.</w:t>
      </w:r>
    </w:p>
    <w:p w14:paraId="7198B79B" w14:textId="18AF639B" w:rsidR="00F86207" w:rsidRPr="00001049" w:rsidRDefault="00F86207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01049">
        <w:rPr>
          <w:lang w:val="pl-PL"/>
        </w:rPr>
        <w:t xml:space="preserve">Czas usunięcia wad i uszkodzeń może ulec wydłużeniu w przypadku, gdy części zamienne zostaną sprowadzone poza granice Rzeczypospolitej Polskiej lub gdy </w:t>
      </w:r>
      <w:r w:rsidR="002B79FC" w:rsidRPr="00001049">
        <w:rPr>
          <w:lang w:val="pl-PL"/>
        </w:rPr>
        <w:t>wadliwa część urządzenia zostanie wysłana do serwisu producenta.</w:t>
      </w:r>
    </w:p>
    <w:p w14:paraId="0AC8A674" w14:textId="7C29081D" w:rsidR="00F86207" w:rsidRPr="00C66945" w:rsidRDefault="00F86207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C66945">
        <w:rPr>
          <w:lang w:val="pl-PL"/>
        </w:rPr>
        <w:t>Świadczenia gwarancyjne będą realizowane pod następującymi warunkami:</w:t>
      </w:r>
    </w:p>
    <w:p w14:paraId="6BC6254F" w14:textId="3EFAC589" w:rsidR="002B79FC" w:rsidRDefault="00F86207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C66945">
        <w:rPr>
          <w:lang w:val="pl-PL"/>
        </w:rPr>
        <w:t xml:space="preserve">Niezwłoczne i skuteczne zawiadomienie Gwaranta </w:t>
      </w:r>
      <w:r w:rsidR="002B79FC">
        <w:rPr>
          <w:lang w:val="pl-PL"/>
        </w:rPr>
        <w:t xml:space="preserve">poprzez internetowy Centrum Serwisu dostępne 24x7 pod adresem </w:t>
      </w:r>
      <w:hyperlink r:id="rId7" w:history="1">
        <w:r w:rsidR="00692037" w:rsidRPr="009837D9">
          <w:rPr>
            <w:rStyle w:val="Hyperlink"/>
            <w:lang w:val="pl-PL"/>
          </w:rPr>
          <w:t>https://www.softgnet.com/csc</w:t>
        </w:r>
      </w:hyperlink>
      <w:r w:rsidR="00692037">
        <w:rPr>
          <w:lang w:val="pl-PL"/>
        </w:rPr>
        <w:t xml:space="preserve"> </w:t>
      </w:r>
      <w:r w:rsidR="002B79FC">
        <w:rPr>
          <w:lang w:val="pl-PL"/>
        </w:rPr>
        <w:t xml:space="preserve"> </w:t>
      </w:r>
      <w:r w:rsidRPr="00C66945">
        <w:rPr>
          <w:lang w:val="pl-PL"/>
        </w:rPr>
        <w:t>o stwierdzonych wadach urządzenia i zaprzestanie jego używania</w:t>
      </w:r>
      <w:r w:rsidR="00001049">
        <w:rPr>
          <w:lang w:val="pl-PL"/>
        </w:rPr>
        <w:t>;</w:t>
      </w:r>
    </w:p>
    <w:p w14:paraId="3A221FD7" w14:textId="66B68E54" w:rsidR="002B79FC" w:rsidRPr="002B79FC" w:rsidRDefault="002B79FC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>
        <w:rPr>
          <w:lang w:val="pl-PL"/>
        </w:rPr>
        <w:t>D</w:t>
      </w:r>
      <w:r w:rsidRPr="00C66945">
        <w:rPr>
          <w:lang w:val="pl-PL"/>
        </w:rPr>
        <w:t>ostarczon</w:t>
      </w:r>
      <w:r>
        <w:rPr>
          <w:lang w:val="pl-PL"/>
        </w:rPr>
        <w:t xml:space="preserve">o </w:t>
      </w:r>
      <w:r w:rsidRPr="00C66945">
        <w:rPr>
          <w:lang w:val="pl-PL"/>
        </w:rPr>
        <w:t>szczegółowy i czytelny opis</w:t>
      </w:r>
      <w:r>
        <w:rPr>
          <w:lang w:val="pl-PL"/>
        </w:rPr>
        <w:t xml:space="preserve"> </w:t>
      </w:r>
      <w:r w:rsidRPr="00C66945">
        <w:rPr>
          <w:lang w:val="pl-PL"/>
        </w:rPr>
        <w:t>problemu technicznego</w:t>
      </w:r>
      <w:r w:rsidR="00001049">
        <w:rPr>
          <w:lang w:val="pl-PL"/>
        </w:rPr>
        <w:t>;</w:t>
      </w:r>
    </w:p>
    <w:p w14:paraId="1802214E" w14:textId="1D900445" w:rsidR="00107C24" w:rsidRDefault="00F86207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C66945">
        <w:rPr>
          <w:lang w:val="pl-PL"/>
        </w:rPr>
        <w:t>Oznakowane urządzenie wraz z kopią faktury handlowej</w:t>
      </w:r>
      <w:r w:rsidR="002B79FC">
        <w:rPr>
          <w:lang w:val="pl-PL"/>
        </w:rPr>
        <w:t xml:space="preserve"> oraz numerem RMA (R</w:t>
      </w:r>
      <w:r w:rsidR="002B79FC" w:rsidRPr="002B79FC">
        <w:rPr>
          <w:lang w:val="pl-PL"/>
        </w:rPr>
        <w:t xml:space="preserve">eturn </w:t>
      </w:r>
      <w:proofErr w:type="spellStart"/>
      <w:r w:rsidR="002B79FC">
        <w:rPr>
          <w:lang w:val="pl-PL"/>
        </w:rPr>
        <w:t>M</w:t>
      </w:r>
      <w:r w:rsidR="002B79FC" w:rsidRPr="002B79FC">
        <w:rPr>
          <w:lang w:val="pl-PL"/>
        </w:rPr>
        <w:t>erchandise</w:t>
      </w:r>
      <w:proofErr w:type="spellEnd"/>
      <w:r w:rsidR="002B79FC" w:rsidRPr="002B79FC">
        <w:rPr>
          <w:lang w:val="pl-PL"/>
        </w:rPr>
        <w:t xml:space="preserve"> </w:t>
      </w:r>
      <w:proofErr w:type="spellStart"/>
      <w:r w:rsidR="002B79FC">
        <w:rPr>
          <w:lang w:val="pl-PL"/>
        </w:rPr>
        <w:t>A</w:t>
      </w:r>
      <w:r w:rsidR="002B79FC" w:rsidRPr="002B79FC">
        <w:rPr>
          <w:lang w:val="pl-PL"/>
        </w:rPr>
        <w:t>uthorization</w:t>
      </w:r>
      <w:proofErr w:type="spellEnd"/>
      <w:r w:rsidR="002B79FC">
        <w:rPr>
          <w:lang w:val="pl-PL"/>
        </w:rPr>
        <w:t>)</w:t>
      </w:r>
      <w:r w:rsidRPr="00C66945">
        <w:rPr>
          <w:lang w:val="pl-PL"/>
        </w:rPr>
        <w:t xml:space="preserve"> należy dostarczyć do </w:t>
      </w:r>
      <w:r w:rsidR="002B79FC" w:rsidRPr="00C66945">
        <w:rPr>
          <w:lang w:val="pl-PL"/>
        </w:rPr>
        <w:t xml:space="preserve">Centrum </w:t>
      </w:r>
      <w:r w:rsidRPr="00C66945">
        <w:rPr>
          <w:lang w:val="pl-PL"/>
        </w:rPr>
        <w:t>Serwisu Gwaranta</w:t>
      </w:r>
      <w:r w:rsidR="00001049">
        <w:rPr>
          <w:lang w:val="pl-PL"/>
        </w:rPr>
        <w:t>;</w:t>
      </w:r>
    </w:p>
    <w:p w14:paraId="0DBCB029" w14:textId="639BC550" w:rsidR="00107C24" w:rsidRDefault="00F86207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Numer seryjny dostarczonego wadliwego urządzenia musi być zgodny z numerem seryjnym urządzenia sprzedanego Klientowi</w:t>
      </w:r>
      <w:r w:rsidR="00001049">
        <w:rPr>
          <w:lang w:val="pl-PL"/>
        </w:rPr>
        <w:t>;</w:t>
      </w:r>
    </w:p>
    <w:p w14:paraId="3D8BBE74" w14:textId="5569E710" w:rsidR="00107C24" w:rsidRDefault="00F86207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Dostarczone urządzenie powinno być odpowiednio opakowane podczas załadunku, transportu i rozładunku</w:t>
      </w:r>
      <w:r w:rsidR="00001049">
        <w:rPr>
          <w:lang w:val="pl-PL"/>
        </w:rPr>
        <w:t>;</w:t>
      </w:r>
    </w:p>
    <w:p w14:paraId="26B9171F" w14:textId="4A6509BB" w:rsidR="00F86207" w:rsidRPr="00107C24" w:rsidRDefault="00F86207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Przesyłka do Centrum Serwisowego Gwaranta musi być zorganizowana i opłacona przez Klienta</w:t>
      </w:r>
      <w:r w:rsidR="00001049">
        <w:rPr>
          <w:lang w:val="pl-PL"/>
        </w:rPr>
        <w:t>;</w:t>
      </w:r>
    </w:p>
    <w:p w14:paraId="31EB2BFC" w14:textId="3527CBDF" w:rsidR="00107C24" w:rsidRDefault="00F86207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107C24">
        <w:rPr>
          <w:lang w:val="pl-PL"/>
        </w:rPr>
        <w:t>Gwarant zastrzega sobie prawo do obciążenia Beneficjenta Gwarancji kosztami serwisu, transportu, ubezpieczenia i odprawy celnej, jeżeli wada nie wchodzi w zakres niniejszej Gwarancji lub nie została</w:t>
      </w:r>
      <w:r w:rsidR="00107C24">
        <w:rPr>
          <w:lang w:val="pl-PL"/>
        </w:rPr>
        <w:t xml:space="preserve"> </w:t>
      </w:r>
      <w:r w:rsidRPr="00107C24">
        <w:rPr>
          <w:lang w:val="pl-PL"/>
        </w:rPr>
        <w:t>udowodniona jego wadliwość.</w:t>
      </w:r>
    </w:p>
    <w:p w14:paraId="76DBA1AC" w14:textId="6DA1CD3D" w:rsidR="00107C24" w:rsidRPr="00107C24" w:rsidRDefault="00107C24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107C24">
        <w:rPr>
          <w:lang w:val="pl-PL"/>
        </w:rPr>
        <w:t>Gwarancja nie obejmuje:</w:t>
      </w:r>
    </w:p>
    <w:p w14:paraId="4D3253D3" w14:textId="6A136213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lastRenderedPageBreak/>
        <w:t>Uszkodzeń mechanicznych lub elektrycznych wynikających z nieprawidłowej instalacji, konfiguracji, użytkowania lub innych czynności</w:t>
      </w:r>
      <w:r>
        <w:rPr>
          <w:lang w:val="pl-PL"/>
        </w:rPr>
        <w:t xml:space="preserve"> </w:t>
      </w:r>
      <w:r w:rsidRPr="00107C24">
        <w:rPr>
          <w:lang w:val="pl-PL"/>
        </w:rPr>
        <w:t>niezgodnych z instrukcją obsługi lub sprzecznych ze specyfikacją techniczną dołączoną do urządzenia;</w:t>
      </w:r>
    </w:p>
    <w:p w14:paraId="45968E4C" w14:textId="3520819F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Uszkodzeń spowodowanych przez siły wyższe, powodzie, pożary, oświetlenie lub inne klęski żywiołowe, wojny, nieprzewidziane zdarzenia,</w:t>
      </w:r>
      <w:r>
        <w:rPr>
          <w:lang w:val="pl-PL"/>
        </w:rPr>
        <w:t xml:space="preserve"> </w:t>
      </w:r>
      <w:r w:rsidRPr="00107C24">
        <w:rPr>
          <w:lang w:val="pl-PL"/>
        </w:rPr>
        <w:t>nieodpowiednim napięciem, wadliwymi materiałami zasilającymi lub innymi czynnikami zewnętrznymi;</w:t>
      </w:r>
    </w:p>
    <w:p w14:paraId="3BDDDBEA" w14:textId="760A0F8D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Urządzenie, które zostało w jakikolwiek sposób naruszone przez Beneficjenta Gwarancji lub jakąkolwiek inną osobę</w:t>
      </w:r>
    </w:p>
    <w:p w14:paraId="494A85D6" w14:textId="1BE44722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Urządzenie, które zostało w jakikolwiek sposób zmienione przez Beneficjenta Gwarancji lub jakąkolwiek inną osobę, włączając w to rekonfigurację, naprawę, celowe zmiany konstrukcyjne, modyfikacje i dostosowania;</w:t>
      </w:r>
    </w:p>
    <w:p w14:paraId="4AFD36D0" w14:textId="48663F84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 xml:space="preserve">Urządzenie z uszkodzonymi lub nieczytelnymi numerami seryjnymi </w:t>
      </w:r>
    </w:p>
    <w:p w14:paraId="1D604549" w14:textId="5DE557BB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 xml:space="preserve">Czynności określonych w instrukcji obsługi, za które wyłączną odpowiedzialność ponosi Klient we własnym zakresie i na własny koszt; </w:t>
      </w:r>
    </w:p>
    <w:p w14:paraId="114EB2E7" w14:textId="7620D119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Wad wynikających z zastosowania niewłaściwych lub nieoryginalnych materiałów eksploatacyjnych;</w:t>
      </w:r>
    </w:p>
    <w:p w14:paraId="1331EFEF" w14:textId="4A38460F" w:rsidR="00107C24" w:rsidRPr="00107C24" w:rsidRDefault="00107C24" w:rsidP="00001049">
      <w:pPr>
        <w:pStyle w:val="ListParagraph"/>
        <w:numPr>
          <w:ilvl w:val="1"/>
          <w:numId w:val="2"/>
        </w:numPr>
        <w:jc w:val="both"/>
        <w:rPr>
          <w:lang w:val="pl-PL"/>
        </w:rPr>
      </w:pPr>
      <w:r w:rsidRPr="00107C24">
        <w:rPr>
          <w:lang w:val="pl-PL"/>
        </w:rPr>
        <w:t>Uszkodzeń powstałych z winy lub braku wiedzy użytkownika;</w:t>
      </w:r>
    </w:p>
    <w:p w14:paraId="1E4F375F" w14:textId="3D7CBCA7" w:rsidR="00107C24" w:rsidRPr="00107C24" w:rsidRDefault="00107C24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107C24">
        <w:rPr>
          <w:lang w:val="pl-PL"/>
        </w:rPr>
        <w:t>Gwarant zastrzega sobie prawo do wymiany wadliwego urządzenia lub jego podzespołu na wolny od wad odpowiednik</w:t>
      </w:r>
      <w:r>
        <w:rPr>
          <w:lang w:val="pl-PL"/>
        </w:rPr>
        <w:t xml:space="preserve"> </w:t>
      </w:r>
      <w:r w:rsidRPr="00107C24">
        <w:rPr>
          <w:lang w:val="pl-PL"/>
        </w:rPr>
        <w:t>pod warunkiem, że będzie on zapewniał sprawność i funkcjonalność równą lub wyższą niż oryginalny</w:t>
      </w:r>
      <w:r>
        <w:rPr>
          <w:lang w:val="pl-PL"/>
        </w:rPr>
        <w:t xml:space="preserve"> </w:t>
      </w:r>
      <w:r w:rsidRPr="00107C24">
        <w:rPr>
          <w:lang w:val="pl-PL"/>
        </w:rPr>
        <w:t>urządzenie lub podzespół. Wymienione wadliwe urządzenie lub jego podzespoły stają się własnością Gwaranta.</w:t>
      </w:r>
    </w:p>
    <w:p w14:paraId="600BEEA8" w14:textId="323D583A" w:rsidR="00107C24" w:rsidRPr="00107C24" w:rsidRDefault="00107C24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107C24">
        <w:rPr>
          <w:lang w:val="pl-PL"/>
        </w:rPr>
        <w:t xml:space="preserve">Okres Gwarancji ulega przedłużeniu o czas, w którym naprawione urządzenie znajduje się w </w:t>
      </w:r>
      <w:r w:rsidR="005D1B5A" w:rsidRPr="00107C24">
        <w:rPr>
          <w:lang w:val="pl-PL"/>
        </w:rPr>
        <w:t>Centrum Serwisowym Gwaranta</w:t>
      </w:r>
      <w:r w:rsidRPr="00107C24">
        <w:rPr>
          <w:lang w:val="pl-PL"/>
        </w:rPr>
        <w:t>.</w:t>
      </w:r>
    </w:p>
    <w:p w14:paraId="7C582D1D" w14:textId="77777777" w:rsidR="005D1B5A" w:rsidRPr="005D1B5A" w:rsidRDefault="005D1B5A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5D1B5A">
        <w:rPr>
          <w:lang w:val="pl-PL"/>
        </w:rPr>
        <w:t>Gwarant nie ponosi odpowiedzialności za niewykonanie zobowiązań określonych w niniejszej Gwarancji, jeżeli niewykonanie to jest spowodowane działaniem siły wyższej dotykającej Gwaranta lub producenta urządzenia.</w:t>
      </w:r>
    </w:p>
    <w:p w14:paraId="30842B68" w14:textId="5108EB67" w:rsidR="00107C24" w:rsidRDefault="005D1B5A" w:rsidP="00001049">
      <w:pPr>
        <w:pStyle w:val="ListParagraph"/>
        <w:jc w:val="both"/>
        <w:rPr>
          <w:lang w:val="pl-PL"/>
        </w:rPr>
      </w:pPr>
      <w:r w:rsidRPr="005D1B5A">
        <w:rPr>
          <w:lang w:val="pl-PL"/>
        </w:rPr>
        <w:t>Siła wyższa oznacza jakiekolwiek zdarzenie lub okoliczności pozostające poza racjonalną kontrolą Gwaranta, które uniemożliwiają Gwarantowi wykonanie zobowiązań określonych w niniejszej Gwarancji, lub powoduje, że świadczenie usług gwarancyjnych jest niezgodne z warunkami niniejszej Gwarancji, a których Gwarant nie mógł przewidzieć działając z należytą starannością w chwili podejmowania obowiązków wynikających z niniejszej Gwarancji.</w:t>
      </w:r>
    </w:p>
    <w:p w14:paraId="5E3BA0BA" w14:textId="2D33C89F" w:rsidR="00001049" w:rsidRDefault="00001049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01049">
        <w:rPr>
          <w:lang w:val="pl-PL"/>
        </w:rPr>
        <w:t>Gwarant zastrzega sobie prawo do odmowy świadczenia jakichkolwiek usług gwarancyjnych, jeżeli skutkowałoby to naruszeniem obowiązujących przepisów prawa.</w:t>
      </w:r>
    </w:p>
    <w:p w14:paraId="36A45620" w14:textId="43E327C2" w:rsidR="00001049" w:rsidRPr="00001049" w:rsidRDefault="00001049" w:rsidP="00001049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01049">
        <w:rPr>
          <w:lang w:val="pl-PL"/>
        </w:rPr>
        <w:t>Niniejsze Ogólne Warunki Gwarancji mogą zostać zmienione, jeżeli Kupujący i Gwarant ustalą odmienne warunki w odrębnej umowie, a ich postanowienia zastąpią odpowiednie postanowienia Ogólnych Warunków Gwarancji.</w:t>
      </w:r>
    </w:p>
    <w:p w14:paraId="2B7560A2" w14:textId="3C48ED63" w:rsidR="00001049" w:rsidRDefault="00001049" w:rsidP="00001049">
      <w:pPr>
        <w:pStyle w:val="ListParagraph"/>
        <w:jc w:val="both"/>
        <w:rPr>
          <w:lang w:val="pl-PL"/>
        </w:rPr>
      </w:pPr>
    </w:p>
    <w:p w14:paraId="54C7B087" w14:textId="201EF087" w:rsidR="001C58AA" w:rsidRPr="001C58AA" w:rsidRDefault="001C58AA" w:rsidP="001C58AA">
      <w:pPr>
        <w:pStyle w:val="ListParagraph"/>
        <w:jc w:val="center"/>
        <w:rPr>
          <w:b/>
          <w:bCs/>
          <w:lang w:val="pl-PL"/>
        </w:rPr>
      </w:pPr>
      <w:r w:rsidRPr="001C58AA">
        <w:rPr>
          <w:b/>
          <w:bCs/>
          <w:lang w:val="pl-PL"/>
        </w:rPr>
        <w:t>KONIEC DOKUMENTU</w:t>
      </w:r>
    </w:p>
    <w:p w14:paraId="5DFE3E23" w14:textId="47B8997B" w:rsidR="001C58AA" w:rsidRPr="001C58AA" w:rsidRDefault="001C58AA" w:rsidP="001C58AA">
      <w:pPr>
        <w:pStyle w:val="ListParagraph"/>
        <w:jc w:val="center"/>
        <w:rPr>
          <w:b/>
          <w:bCs/>
          <w:lang w:val="pl-PL"/>
        </w:rPr>
      </w:pPr>
      <w:r w:rsidRPr="001C58AA">
        <w:rPr>
          <w:b/>
          <w:bCs/>
          <w:lang w:val="pl-PL"/>
        </w:rPr>
        <w:t>END OF DOCUMENT</w:t>
      </w:r>
    </w:p>
    <w:sectPr w:rsidR="001C58AA" w:rsidRPr="001C58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D05F" w14:textId="77777777" w:rsidR="00DA37E5" w:rsidRDefault="00DA37E5" w:rsidP="00E841C2">
      <w:r>
        <w:separator/>
      </w:r>
    </w:p>
  </w:endnote>
  <w:endnote w:type="continuationSeparator" w:id="0">
    <w:p w14:paraId="2ECB06FD" w14:textId="77777777" w:rsidR="00DA37E5" w:rsidRDefault="00DA37E5" w:rsidP="00E8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985"/>
      <w:gridCol w:w="3998"/>
      <w:gridCol w:w="203"/>
    </w:tblGrid>
    <w:tr w:rsidR="00E841C2" w:rsidRPr="00E841C2" w14:paraId="2418F430" w14:textId="77777777" w:rsidTr="00E841C2">
      <w:trPr>
        <w:gridAfter w:val="1"/>
        <w:wAfter w:w="203" w:type="dxa"/>
      </w:trPr>
      <w:tc>
        <w:tcPr>
          <w:tcW w:w="8818" w:type="dxa"/>
          <w:gridSpan w:val="3"/>
        </w:tcPr>
        <w:p w14:paraId="48DB675B" w14:textId="2438D6FC" w:rsidR="00E841C2" w:rsidRPr="00E841C2" w:rsidRDefault="00E841C2">
          <w:pPr>
            <w:pStyle w:val="Footer"/>
            <w:rPr>
              <w:rFonts w:ascii="Open Sans" w:hAnsi="Open Sans" w:cs="Open Sans"/>
              <w:color w:val="BFBFBF" w:themeColor="background1" w:themeShade="BF"/>
              <w:sz w:val="16"/>
              <w:szCs w:val="16"/>
              <w:lang w:val="pl-PL"/>
            </w:rPr>
          </w:pPr>
          <w:r w:rsidRPr="00E841C2">
            <w:rPr>
              <w:rFonts w:ascii="Open Sans" w:hAnsi="Open Sans" w:cs="Open Sans"/>
              <w:noProof/>
              <w:color w:val="BFBFBF" w:themeColor="background1" w:themeShade="BF"/>
              <w:sz w:val="16"/>
              <w:szCs w:val="16"/>
              <w:lang w:val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9C395F" wp14:editId="53289C22">
                    <wp:simplePos x="0" y="0"/>
                    <wp:positionH relativeFrom="column">
                      <wp:posOffset>1663</wp:posOffset>
                    </wp:positionH>
                    <wp:positionV relativeFrom="paragraph">
                      <wp:posOffset>58698</wp:posOffset>
                    </wp:positionV>
                    <wp:extent cx="5559819" cy="0"/>
                    <wp:effectExtent l="0" t="0" r="15875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5981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B6E165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6pt" to="437.9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" strokecolor="#ed7d31 [3205]" strokeweight=".5pt">
                    <v:stroke joinstyle="miter"/>
                  </v:line>
                </w:pict>
              </mc:Fallback>
            </mc:AlternateContent>
          </w:r>
        </w:p>
      </w:tc>
    </w:tr>
    <w:tr w:rsidR="00E841C2" w:rsidRPr="00E841C2" w14:paraId="603F120A" w14:textId="77777777" w:rsidTr="00E841C2">
      <w:tc>
        <w:tcPr>
          <w:tcW w:w="2835" w:type="dxa"/>
        </w:tcPr>
        <w:p w14:paraId="632759D8" w14:textId="77777777" w:rsidR="00E841C2" w:rsidRPr="00E841C2" w:rsidRDefault="00E841C2" w:rsidP="00E841C2">
          <w:pPr>
            <w:pStyle w:val="Footer"/>
            <w:rPr>
              <w:rFonts w:ascii="Open Sans" w:hAnsi="Open Sans" w:cs="Open Sans"/>
              <w:b/>
              <w:bCs/>
              <w:color w:val="BFBFBF" w:themeColor="background1" w:themeShade="BF"/>
              <w:sz w:val="16"/>
              <w:szCs w:val="16"/>
            </w:rPr>
          </w:pPr>
          <w:r w:rsidRPr="00E841C2">
            <w:rPr>
              <w:rFonts w:ascii="Open Sans" w:hAnsi="Open Sans" w:cs="Open Sans"/>
              <w:b/>
              <w:bCs/>
              <w:color w:val="BFBFBF" w:themeColor="background1" w:themeShade="BF"/>
              <w:sz w:val="16"/>
              <w:szCs w:val="16"/>
            </w:rPr>
            <w:t>SOFTGENT Sp. z o.o.</w:t>
          </w:r>
        </w:p>
        <w:p w14:paraId="77AEA176" w14:textId="77777777" w:rsidR="00E841C2" w:rsidRPr="00E841C2" w:rsidRDefault="00E841C2" w:rsidP="00E841C2">
          <w:pPr>
            <w:pStyle w:val="Footer"/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</w:pP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  <w:t>ul. Budowlanych 31D</w:t>
          </w:r>
        </w:p>
        <w:p w14:paraId="01751E96" w14:textId="77777777" w:rsidR="00E841C2" w:rsidRPr="00E841C2" w:rsidRDefault="00E841C2" w:rsidP="00E841C2">
          <w:pPr>
            <w:pStyle w:val="Footer"/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</w:pP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  <w:t>80-298 Gdańsk, POLAND</w:t>
          </w:r>
        </w:p>
        <w:p w14:paraId="62649A28" w14:textId="05231792" w:rsidR="00E841C2" w:rsidRPr="00E841C2" w:rsidRDefault="00E841C2" w:rsidP="00E841C2">
          <w:pPr>
            <w:pStyle w:val="Footer"/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</w:pP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  <w:t>NIP 958-167-98-01</w:t>
          </w:r>
        </w:p>
      </w:tc>
      <w:tc>
        <w:tcPr>
          <w:tcW w:w="1985" w:type="dxa"/>
        </w:tcPr>
        <w:p w14:paraId="2C2EADD3" w14:textId="77777777" w:rsidR="00E841C2" w:rsidRPr="00E841C2" w:rsidRDefault="00E841C2">
          <w:pPr>
            <w:pStyle w:val="Footer"/>
            <w:rPr>
              <w:rFonts w:ascii="Open Sans" w:hAnsi="Open Sans" w:cs="Open Sans"/>
              <w:color w:val="BFBFBF" w:themeColor="background1" w:themeShade="BF"/>
              <w:sz w:val="16"/>
              <w:szCs w:val="16"/>
              <w:lang w:val="pl-PL"/>
            </w:rPr>
          </w:pP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  <w:lang w:val="pl-PL"/>
            </w:rPr>
            <w:t>tel.: +48882177757</w:t>
          </w:r>
        </w:p>
        <w:p w14:paraId="487AE771" w14:textId="3C5331D1" w:rsidR="00E841C2" w:rsidRPr="00E841C2" w:rsidRDefault="00E841C2">
          <w:pPr>
            <w:pStyle w:val="Footer"/>
            <w:rPr>
              <w:rFonts w:ascii="Open Sans" w:hAnsi="Open Sans" w:cs="Open Sans"/>
              <w:color w:val="BFBFBF" w:themeColor="background1" w:themeShade="BF"/>
              <w:sz w:val="16"/>
              <w:szCs w:val="16"/>
              <w:lang w:val="pl-PL"/>
            </w:rPr>
          </w:pP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  <w:lang w:val="pl-PL"/>
            </w:rPr>
            <w:t>www.softgent.com</w:t>
          </w:r>
        </w:p>
      </w:tc>
      <w:tc>
        <w:tcPr>
          <w:tcW w:w="4201" w:type="dxa"/>
          <w:gridSpan w:val="2"/>
        </w:tcPr>
        <w:p w14:paraId="2E0DBE02" w14:textId="0CE67753" w:rsidR="00E841C2" w:rsidRPr="00E841C2" w:rsidRDefault="00E841C2" w:rsidP="00E841C2">
          <w:pPr>
            <w:pStyle w:val="Footer"/>
            <w:jc w:val="right"/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</w:pP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  <w:t xml:space="preserve">Sąd Rejonowy Gdańsk-Północ w Gdańsku, </w:t>
          </w: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  <w:br/>
            <w:t xml:space="preserve">VII Wydział Gospodarczy Krajowego Rejestru Sądowego, KRS 0000674406, </w:t>
          </w:r>
          <w:r w:rsidRPr="00E841C2">
            <w:rPr>
              <w:rFonts w:ascii="Open Sans" w:hAnsi="Open Sans" w:cs="Open Sans"/>
              <w:color w:val="BFBFBF" w:themeColor="background1" w:themeShade="BF"/>
              <w:sz w:val="16"/>
              <w:szCs w:val="16"/>
            </w:rPr>
            <w:br/>
            <w:t>Kapitał zakładowy: 25 000,00 zł wpłacony w całości</w:t>
          </w:r>
        </w:p>
      </w:tc>
    </w:tr>
  </w:tbl>
  <w:p w14:paraId="6367FD23" w14:textId="77777777" w:rsidR="00E841C2" w:rsidRDefault="00E8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B3C3" w14:textId="77777777" w:rsidR="00DA37E5" w:rsidRDefault="00DA37E5" w:rsidP="00E841C2">
      <w:r>
        <w:separator/>
      </w:r>
    </w:p>
  </w:footnote>
  <w:footnote w:type="continuationSeparator" w:id="0">
    <w:p w14:paraId="553CCA1F" w14:textId="77777777" w:rsidR="00DA37E5" w:rsidRDefault="00DA37E5" w:rsidP="00E8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E841C2" w14:paraId="27C05307" w14:textId="77777777" w:rsidTr="00932E7B">
      <w:tc>
        <w:tcPr>
          <w:tcW w:w="4508" w:type="dxa"/>
        </w:tcPr>
        <w:p w14:paraId="215A2BB2" w14:textId="606DD36F" w:rsidR="00E841C2" w:rsidRDefault="00E841C2">
          <w:pPr>
            <w:pStyle w:val="Header"/>
          </w:pPr>
          <w:r>
            <w:rPr>
              <w:noProof/>
            </w:rPr>
            <w:drawing>
              <wp:inline distT="0" distB="0" distL="0" distR="0" wp14:anchorId="035E3ACC" wp14:editId="2CC2DEA1">
                <wp:extent cx="1889251" cy="594027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311" cy="64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71B35270" w14:textId="044A07AD" w:rsidR="00E841C2" w:rsidRDefault="00001049" w:rsidP="00C741E4">
          <w:pPr>
            <w:pStyle w:val="Header"/>
            <w:jc w:val="right"/>
            <w:rPr>
              <w:rFonts w:ascii="Open Sans" w:hAnsi="Open Sans" w:cs="Open Sans"/>
              <w:b/>
              <w:bCs/>
              <w:sz w:val="28"/>
              <w:szCs w:val="28"/>
              <w:lang w:val="pl-PL"/>
            </w:rPr>
          </w:pPr>
          <w:r w:rsidRPr="00001049">
            <w:rPr>
              <w:rFonts w:ascii="Open Sans" w:hAnsi="Open Sans" w:cs="Open Sans"/>
              <w:b/>
              <w:bCs/>
              <w:lang w:val="pl-PL"/>
            </w:rPr>
            <w:t>TRACKGENT</w:t>
          </w:r>
          <w:r>
            <w:rPr>
              <w:rFonts w:ascii="Open Sans" w:hAnsi="Open Sans" w:cs="Open Sans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Open Sans" w:hAnsi="Open Sans" w:cs="Open Sans"/>
              <w:b/>
              <w:bCs/>
              <w:sz w:val="28"/>
              <w:szCs w:val="28"/>
              <w:lang w:val="pl-PL"/>
            </w:rPr>
            <w:br/>
          </w:r>
          <w:r w:rsidR="00F86207">
            <w:rPr>
              <w:rFonts w:ascii="Open Sans" w:hAnsi="Open Sans" w:cs="Open Sans"/>
              <w:b/>
              <w:bCs/>
              <w:sz w:val="28"/>
              <w:szCs w:val="28"/>
              <w:lang w:val="pl-PL"/>
            </w:rPr>
            <w:t>WARUNKI</w:t>
          </w:r>
          <w:r>
            <w:rPr>
              <w:rFonts w:ascii="Open Sans" w:hAnsi="Open Sans" w:cs="Open Sans"/>
              <w:b/>
              <w:bCs/>
              <w:sz w:val="28"/>
              <w:szCs w:val="28"/>
              <w:lang w:val="pl-PL"/>
            </w:rPr>
            <w:t xml:space="preserve"> </w:t>
          </w:r>
          <w:r w:rsidR="00F86207">
            <w:rPr>
              <w:rFonts w:ascii="Open Sans" w:hAnsi="Open Sans" w:cs="Open Sans"/>
              <w:b/>
              <w:bCs/>
              <w:sz w:val="28"/>
              <w:szCs w:val="28"/>
              <w:lang w:val="pl-PL"/>
            </w:rPr>
            <w:t>GWARANCJI</w:t>
          </w:r>
        </w:p>
        <w:p w14:paraId="1B4B030A" w14:textId="57AFC105" w:rsidR="00001049" w:rsidRPr="00001049" w:rsidRDefault="00001049" w:rsidP="00C741E4">
          <w:pPr>
            <w:pStyle w:val="Header"/>
            <w:jc w:val="right"/>
            <w:rPr>
              <w:rFonts w:ascii="Open Sans" w:hAnsi="Open Sans" w:cs="Open Sans"/>
              <w:lang w:val="pl-PL"/>
            </w:rPr>
          </w:pPr>
          <w:r w:rsidRPr="00001049">
            <w:rPr>
              <w:rFonts w:ascii="Open Sans" w:hAnsi="Open Sans" w:cs="Open Sans"/>
              <w:sz w:val="16"/>
              <w:szCs w:val="16"/>
              <w:lang w:val="pl-PL"/>
            </w:rPr>
            <w:t>SGNT_E_078-A</w:t>
          </w:r>
        </w:p>
      </w:tc>
    </w:tr>
  </w:tbl>
  <w:p w14:paraId="37B971B6" w14:textId="68069ACF" w:rsidR="00E841C2" w:rsidRDefault="00E8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3EA"/>
    <w:multiLevelType w:val="hybridMultilevel"/>
    <w:tmpl w:val="C6C0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7A21"/>
    <w:multiLevelType w:val="hybridMultilevel"/>
    <w:tmpl w:val="20F84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FC70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21C"/>
    <w:multiLevelType w:val="hybridMultilevel"/>
    <w:tmpl w:val="11D2F14E"/>
    <w:lvl w:ilvl="0" w:tplc="2D382064">
      <w:start w:val="5435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C2"/>
    <w:rsid w:val="00001049"/>
    <w:rsid w:val="00107C24"/>
    <w:rsid w:val="001C58AA"/>
    <w:rsid w:val="002B79FC"/>
    <w:rsid w:val="00406DF9"/>
    <w:rsid w:val="00497936"/>
    <w:rsid w:val="005809FE"/>
    <w:rsid w:val="005D1B5A"/>
    <w:rsid w:val="00692037"/>
    <w:rsid w:val="006C24F7"/>
    <w:rsid w:val="006E6031"/>
    <w:rsid w:val="006F49D1"/>
    <w:rsid w:val="00755F1D"/>
    <w:rsid w:val="00773B0D"/>
    <w:rsid w:val="007E4756"/>
    <w:rsid w:val="00932E7B"/>
    <w:rsid w:val="00967EA3"/>
    <w:rsid w:val="00B128BF"/>
    <w:rsid w:val="00B67BE3"/>
    <w:rsid w:val="00C5671D"/>
    <w:rsid w:val="00C66945"/>
    <w:rsid w:val="00C741E4"/>
    <w:rsid w:val="00DA37E5"/>
    <w:rsid w:val="00E841C2"/>
    <w:rsid w:val="00F01D05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97BB56"/>
  <w15:chartTrackingRefBased/>
  <w15:docId w15:val="{E0441F69-59A6-4842-BD24-6D15593E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C2"/>
  </w:style>
  <w:style w:type="paragraph" w:styleId="Footer">
    <w:name w:val="footer"/>
    <w:basedOn w:val="Normal"/>
    <w:link w:val="FooterChar"/>
    <w:uiPriority w:val="99"/>
    <w:unhideWhenUsed/>
    <w:rsid w:val="00E84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C2"/>
  </w:style>
  <w:style w:type="table" w:styleId="TableGrid">
    <w:name w:val="Table Grid"/>
    <w:basedOn w:val="TableNormal"/>
    <w:uiPriority w:val="39"/>
    <w:rsid w:val="00E8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A3"/>
    <w:pPr>
      <w:widowControl w:val="0"/>
      <w:ind w:left="720"/>
      <w:contextualSpacing/>
    </w:pPr>
    <w:rPr>
      <w:rFonts w:eastAsiaTheme="minorEastAsia"/>
      <w:kern w:val="2"/>
      <w:szCs w:val="22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2B7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tgnet.com/c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Hasse</dc:creator>
  <cp:keywords/>
  <dc:description/>
  <cp:lastModifiedBy>Marcin Hasse</cp:lastModifiedBy>
  <cp:revision>5</cp:revision>
  <dcterms:created xsi:type="dcterms:W3CDTF">2022-01-10T15:37:00Z</dcterms:created>
  <dcterms:modified xsi:type="dcterms:W3CDTF">2022-01-12T13:45:00Z</dcterms:modified>
</cp:coreProperties>
</file>